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ind w:firstLine="0"/>
        <w:jc w:val="center"/>
      </w:pPr>
      <w:r>
        <w:t>УКРАЇНА</w:t>
      </w:r>
    </w:p>
    <w:p>
      <w:pPr>
        <w:widowControl/>
        <w:ind w:firstLine="0"/>
        <w:jc w:val="center"/>
      </w:pPr>
      <w:r>
        <w:t>КРАСНОКУТСЬКА СЕЛИЩНА РАДА</w:t>
        <w:br/>
        <w:t>БОГОДУХІВСЬКОГО РАЙОНУ ХАРКІВСЬКОЇ ОБЛАСТІ</w:t>
      </w:r>
    </w:p>
    <w:p>
      <w:pPr>
        <w:pStyle w:val="Title"/>
        <w:widowControl/>
        <w:ind w:firstLine="0"/>
        <w:jc w:val="center"/>
      </w:pPr>
      <w:r>
        <w:t>РІШЕННЯ</w:t>
      </w:r>
    </w:p>
    <w:p>
      <w:pPr>
        <w:widowControl/>
        <w:ind w:firstLine="0"/>
        <w:jc w:val="center"/>
      </w:pPr>
      <w:r>
        <w:t>____ сесія VIII скликання</w:t>
      </w:r>
    </w:p>
    <w:p>
      <w:pPr>
        <w:widowControl/>
      </w:pPr>
      <w:r>
        <w:t>від «___» ____________ 2026 року                    № ______-VIII</w:t>
      </w:r>
    </w:p>
    <w:p>
      <w:pPr>
        <w:widowControl/>
        <w:ind w:firstLine="0"/>
        <w:jc w:val="center"/>
      </w:pPr>
      <w:r>
        <w:t>селище Краснокутськ</w:t>
      </w:r>
    </w:p>
    <w:p>
      <w:pPr>
        <w:pStyle w:val="Heading1"/>
        <w:widowControl/>
      </w:pPr>
      <w:r>
        <w:t>Про внесення змін до Статуту Краснокутської селищної територіальної громади шляхом викладення його в новій редакції</w:t>
      </w:r>
    </w:p>
    <w:p>
      <w:pPr>
        <w:widowControl/>
      </w:pPr>
      <w:r>
        <w:t>З метою приведення Статуту Краснокутської селищної територіальної громади у відповідність до законодавства України, забезпечення участі жителів у вирішенні питань місцевого значення, відкритості та підзвітності органів місцевого самоврядування, враховуючи результати громадських слухань від «___» ____________ 2026 року (протокол № ___), результати розгляду пропозицій, внесених під час громадських слухань, та рекомендації постійної комісії селищної ради __________________________ від «___» ____________ 2026 року, керуючись статтями 6-1, 8, 9, 13, 13-1–13-5, 19, пунктом 48 частини першої статті 26, статтями 42, 46, 59, 75 Закону України «Про місцеве самоврядування в Україні», Законом України від 09 травня 2024 року № 3703-IX «Про внесення змін до деяких законів України щодо народовладдя на рівні місцевого самоврядування», селищна рада</w:t>
      </w:r>
    </w:p>
    <w:p>
      <w:pPr>
        <w:widowControl/>
      </w:pPr>
      <w:r>
        <w:t>ВИРІШИЛА:</w:t>
      </w:r>
    </w:p>
    <w:p>
      <w:pPr>
        <w:widowControl/>
      </w:pPr>
      <w:r>
        <w:t>1. Внести зміни до Статуту Краснокутської селищної територіальної громади Богодухівського району Харківської області, затвердженого рішенням Краснокутської селищної ради від 22 грудня 2020 року № 34-VIII, шляхом викладення його в новій редакції, що додається.</w:t>
      </w:r>
    </w:p>
    <w:p>
      <w:pPr>
        <w:widowControl/>
      </w:pPr>
      <w:r>
        <w:t>2. Установити, що невід’ємними частинами Статуту в новій редакції є:</w:t>
      </w:r>
    </w:p>
    <w:p>
      <w:pPr>
        <w:widowControl/>
      </w:pPr>
      <w:r>
        <w:t>2.1. Положення про загальні збори та конференцію жителів Краснокутської селищної територіальної громади (додаток 1 до Статуту).</w:t>
      </w:r>
    </w:p>
    <w:p>
      <w:pPr>
        <w:widowControl/>
      </w:pPr>
      <w:r>
        <w:t>2.2. Положення про місцеві ініціативи в Краснокутській селищній територіальній громаді (додаток 2 до Статуту).</w:t>
      </w:r>
    </w:p>
    <w:p>
      <w:pPr>
        <w:widowControl/>
      </w:pPr>
      <w:r>
        <w:t>2.3. Положення про громадські слухання в Краснокутській селищній територіальній громаді (додаток 3 до Статуту).</w:t>
      </w:r>
    </w:p>
    <w:p>
      <w:pPr>
        <w:widowControl/>
      </w:pPr>
      <w:r>
        <w:t>2.4. Положення про громадське оцінювання діяльності органів та посадових осіб місцевого самоврядування Краснокутської селищної територіальної громади (додаток 4 до Статуту).</w:t>
      </w:r>
    </w:p>
    <w:p>
      <w:pPr>
        <w:widowControl/>
      </w:pPr>
      <w:r>
        <w:t>2.5. Положення про електронні петиції до Краснокутської селищної ради та її виконавчих органів (додаток 5 до Статуту).</w:t>
      </w:r>
    </w:p>
    <w:p>
      <w:pPr>
        <w:widowControl/>
      </w:pPr>
      <w:r>
        <w:t>3. Секретарю селищної ради забезпечити офіційне оприлюднення цього рішення, Статуту в новій редакції та всіх його додатків на офіційному вебсайті селищної ради невідкладно, але не пізніше п’яти робочих днів із дня прийняття рішення, а також доступність їх актуального тексту для ознайомлення в приміщенні ради.</w:t>
      </w:r>
    </w:p>
    <w:p>
      <w:pPr>
        <w:widowControl/>
      </w:pPr>
      <w:r>
        <w:t>4. Виконавчому комітету селищної ради протягом 30 календарних днів із дня набрання чинності цим рішенням визначити відповідальний структурний підрозділ або посадову особу з питань громадської участі, забезпечити оприлюднення контактів для подання документів та організаційний супровід процедур, передбачених Статутом.</w:t>
      </w:r>
    </w:p>
    <w:p>
      <w:pPr>
        <w:widowControl/>
      </w:pPr>
      <w:r>
        <w:t>5. Виконавчим органам селищної ради за участю секретаря ради та юридичної служби протягом 60 календарних днів із дня набрання чинності цим рішенням:</w:t>
      </w:r>
    </w:p>
    <w:p>
      <w:pPr>
        <w:widowControl/>
      </w:pPr>
      <w:r>
        <w:t>5.1. Перевірити відповідність чинних актів селищної ради, її виконавчого комітету та селищного голови новій редакції Статуту.</w:t>
      </w:r>
    </w:p>
    <w:p>
      <w:pPr>
        <w:widowControl/>
      </w:pPr>
      <w:r>
        <w:t>5.2. Подати відповідним органам і посадовим особам проєкти актів про внесення змін або визнання такими, що втратили чинність, актів, які дублюють чи суперечать Статуту, з наведенням їх точних реквізитів.</w:t>
      </w:r>
    </w:p>
    <w:p>
      <w:pPr>
        <w:widowControl/>
      </w:pPr>
      <w:r>
        <w:t>5.3. Підготувати необхідні зміни до Регламенту ради щодо розгляду місцевих ініціатив, рішень загальних зборів та конференцій жителів, пропозицій громадських слухань, висновків громадського оцінювання й електронних петицій.</w:t>
      </w:r>
    </w:p>
    <w:p>
      <w:pPr>
        <w:widowControl/>
      </w:pPr>
      <w:r>
        <w:t>6. З дня набрання чинності цим рішенням Статут застосовується в новій редакції. Раніше прийняті місцеві акти застосовуються в частині, що не суперечить законам України та Статуту в новій редакції. Розгляд документів, поданих до цієї дати, здійснюється з урахуванням перехідних положень Статуту.</w:t>
      </w:r>
    </w:p>
    <w:p>
      <w:pPr>
        <w:widowControl/>
      </w:pPr>
      <w:r>
        <w:t>7. Це рішення та Статут у новій редакції набирають чинності з дня їх офіційного оприлюднення разом з усіма невід’ємними додатками.</w:t>
      </w:r>
    </w:p>
    <w:p>
      <w:pPr>
        <w:widowControl/>
      </w:pPr>
      <w:r>
        <w:t>8. Контроль за виконанням цього рішення покласти на постійну комісію селищної ради ________________________________.</w:t>
      </w:r>
    </w:p>
    <w:p>
      <w:pPr>
        <w:widowControl/>
      </w:pPr>
      <w:r>
        <w:t>Селищний голова                         ____________________</w:t>
      </w:r>
    </w:p>
    <w:p>
      <w:r>
        <w:br w:type="page"/>
      </w:r>
    </w:p>
    <w:p>
      <w:pPr>
        <w:pStyle w:val="Heading1"/>
        <w:widowControl/>
      </w:pPr>
      <w:r>
        <w:t>Пояснювальна записка до проєкту рішення</w:t>
      </w:r>
    </w:p>
    <w:p>
      <w:pPr>
        <w:widowControl/>
      </w:pPr>
      <w:r>
        <w:t>Проєкт підготовлено для оновлення Статуту, затвердженого рішенням від 22.12.2020 № 34-VIII. Закон № 3703-IX передбачає приведення чинних статутів у відповідність до нових вимог до 1 січня 2027 року. Проєкт рішення призначений для остаточного розгляду після громадських слухань. Незаповнені реквізити слухань не підтверджують їх проведення.</w:t>
      </w:r>
    </w:p>
    <w:p>
      <w:pPr>
        <w:widowControl/>
      </w:pPr>
      <w:r>
        <w:t>Нова редакція передбачає процедури участі жителів, включно з ВПО та молоддю, правила звітування, оприлюднення інформації, громадського контролю та розгляду пропозицій. Вилучено вимогу державної реєстрації Статуту. Постанова КМУ від 27.07.1998 № 1150 втратила чинність на підставі постанови КМУ від 31.01.2025 № 99.</w:t>
      </w:r>
    </w:p>
    <w:p>
      <w:pPr>
        <w:pStyle w:val="Heading2"/>
        <w:widowControl/>
      </w:pPr>
      <w:r>
        <w:t>Параметри проєкту для погодження</w:t>
      </w:r>
    </w:p>
    <w:p>
      <w:pPr>
        <w:widowControl/>
      </w:pPr>
      <w:r>
        <w:t>У проєкті запропоновано місцеві процедурні параметри, які не подаються як уже затверджені радою: 3 особи в ініціативній групі; 50 підписів для місцевої ініціативи; відсутність додаткового збору підписів для ініціювання слухань або зборів; 100 підписів протягом 90 календарних днів для електронної петиції; 10 календарних днів для завчасного повідомлення про збори та слухання; 20 календарних днів для консультацій; квота 1 делегат конференції від кожних 50 жителів із правом голосу з округленням угору.</w:t>
      </w:r>
    </w:p>
    <w:p>
      <w:pPr>
        <w:widowControl/>
      </w:pPr>
      <w:r>
        <w:t>Ці значення потрібно обговорити з депутатами та жителями. Після погодження вони мають залишатися однаковими в основному тексті й додатках. Обов’язкові строки й кворуми, установлені законом, змінювати місцевим рішенням не можна.</w:t>
      </w:r>
    </w:p>
    <w:p>
      <w:pPr>
        <w:pStyle w:val="Heading2"/>
        <w:widowControl/>
      </w:pPr>
      <w:r>
        <w:t>Дії до винесення на сесію</w:t>
      </w:r>
    </w:p>
    <w:p>
      <w:pPr>
        <w:widowControl/>
      </w:pPr>
      <w:r>
        <w:t>Перевірити наявність пізніших змін до рішення від 22.12.2020 № 34-VIII, чинні положення про громадські слухання та інші форми участі, Регламент ради, найменування профільної комісії, структурних підрозділів і посадових осіб. За потреби доповнити рішення точним переліком актів, які втратять чинність.</w:t>
      </w:r>
    </w:p>
    <w:p>
      <w:pPr>
        <w:widowControl/>
      </w:pPr>
      <w:r>
        <w:t>Провести громадські слухання за застосовною на час їх проведення процедурою. Нові правила додатка 3 не слід застосовувати заднім числом до слухань, які передують набранню чинності цією редакцією. Оформити протокол, розглянути пропозиції у встановлений законом строк, оприлюднити мотивовані результати та вписати реквізити в преамбулу рішення.</w:t>
      </w:r>
    </w:p>
    <w:p>
      <w:pPr>
        <w:widowControl/>
      </w:pPr>
      <w:r>
        <w:t>У Статуті використано відсилання до офіційного складу території громади, щоб не відтворювати неперевірені назви населених пунктів із редакції 2020 року. Статут не перейменовує населені пункти, не змінює територію громади та не затверджує нову символіку. Чинні місцеві святкові дати збережено перехідною нормою.</w:t>
      </w:r>
    </w:p>
    <w:p>
      <w:pPr>
        <w:widowControl/>
      </w:pPr>
      <w:r>
        <w:t>Реалізація процедур здійснюється в межах компетенції органів ради та затверджених бюджетних призначень. Саме прийняття Статуту не є рішенням про виділення коштів або збільшення штату. Витрати на технічні засоби участі, якщо вони потрібні, визначаються окремо.</w:t>
      </w:r>
    </w:p>
    <w:p>
      <w:pPr>
        <w:pStyle w:val="Heading2"/>
        <w:widowControl/>
      </w:pPr>
      <w:r>
        <w:t>Правові джерела</w:t>
      </w:r>
    </w:p>
    <w:p>
      <w:pPr>
        <w:widowControl/>
      </w:pPr>
      <w:r>
        <w:t>Закон України «Про місцеве самоврядування в Україні» № 280/97-ВР: https://zakon.rada.gov.ua/laws/show/280/97-вр</w:t>
      </w:r>
    </w:p>
    <w:p>
      <w:pPr>
        <w:widowControl/>
      </w:pPr>
      <w:r>
        <w:t>Закон України від 09.05.2024 № 3703-IX: https://zakon.rada.gov.ua/laws/show/3703-20</w:t>
      </w:r>
    </w:p>
    <w:p>
      <w:pPr>
        <w:widowControl/>
      </w:pPr>
      <w:r>
        <w:t>Закон України «Про звернення громадян» № 393/96-ВР, стаття 23-1: https://zakon.rada.gov.ua/laws/show/393/96-вр</w:t>
      </w:r>
    </w:p>
    <w:p>
      <w:pPr>
        <w:widowControl/>
      </w:pPr>
      <w:r>
        <w:t>Закон України «Про доступ до публічної інформації» № 2939-VI: https://zakon.rada.gov.ua/laws/show/2939-17</w:t>
      </w:r>
    </w:p>
    <w:p>
      <w:pPr>
        <w:widowControl/>
      </w:pPr>
      <w:r>
        <w:t>Закон України «Про правовий режим воєнного стану» № 389-VIII: https://zakon.rada.gov.ua/laws/show/389-19</w:t>
      </w:r>
    </w:p>
    <w:p>
      <w:pPr>
        <w:widowControl/>
      </w:pPr>
      <w:r>
        <w:t>Закон України «Про публічні консультації» № 3841-IX з урахуванням порядку набрання чинності: https://zakon.rada.gov.ua/laws/show/3841-20</w:t>
      </w:r>
    </w:p>
    <w:p>
      <w:pPr>
        <w:widowControl/>
      </w:pPr>
      <w:r>
        <w:t>Постанова КМУ від 31.01.2025 № 99: https://zakon.rada.gov.ua/laws/show/99-2025-п</w:t>
      </w:r>
    </w:p>
    <w:p>
      <w:pPr>
        <w:widowControl/>
      </w:pPr>
      <w:r>
        <w:t>Методичні рекомендації з розробки Статуту територіальної громади, оприлюднені Мінрозвитку у 2025 році, використано як допоміжний матеріал, а не як обов’язковий нормативний акт.</w:t>
      </w:r>
    </w:p>
    <w:p>
      <w:pPr>
        <w:widowControl/>
      </w:pPr>
      <w:r>
        <w:t>Пояснювальна записка є супровідним матеріалом до проєкту та не входить до тексту рішення або Статуту. Робоча редакція підготовлена станом на 14 жовтня 2026 року.</w:t>
      </w:r>
    </w:p>
    <w:sectPr w:rsidR="00FC693F" w:rsidRPr="0006063C" w:rsidSect="00034616">
      <w:headerReference w:type="default" r:id="rId9"/>
      <w:footerReference w:type="default" r:id="rId10"/>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r>
      <w:rPr>
        <w:sz w:val="20"/>
      </w:rPr>
      <w:t>ПРОЄКТ</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709"/>
      <w:jc w:val="both"/>
    </w:pPr>
    <w:rPr>
      <w:rFonts w:ascii="Times New Roman" w:hAnsi="Times New Roman" w:eastAsia="Times New Roman" w:cs="Times New Ro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ind w:firstLine="0"/>
      <w:jc w:val="left"/>
      <w:outlineLvl w:val="0"/>
    </w:pPr>
    <w:rPr>
      <w:rFonts w:cstheme="majorBidi"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ind w:firstLine="0"/>
      <w:jc w:val="left"/>
      <w:outlineLvl w:val="1"/>
    </w:pPr>
    <w:rPr>
      <w:rFonts w:cstheme="majorBidi" w:ascii="Times New Roman" w:hAnsi="Times New Roman" w:eastAsia="Times New Roman" w:cs="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60"/>
      <w:ind w:firstLine="0"/>
      <w:jc w:val="left"/>
      <w:outlineLvl w:val="2"/>
    </w:pPr>
    <w:rPr>
      <w:rFonts w:cstheme="majorBidi" w:ascii="Times New Roman" w:hAnsi="Times New Roman" w:eastAsia="Times New Roman" w:cs="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ind w:firstLine="0"/>
      <w:contextualSpacing/>
    </w:pPr>
    <w:rPr>
      <w:rFonts w:cstheme="majorBidi"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Проєкт для обговорення</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